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CA15D8" w:rsidRDefault="00CA15D8" w:rsidP="0061013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bookmarkStart w:id="0" w:name="_GoBack"/>
      <w:bookmarkEnd w:id="0"/>
      <w:r w:rsidRPr="00CA15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SMT1725-</w:t>
      </w:r>
      <w:r w:rsidRPr="00CA15D8">
        <w:rPr>
          <w:rFonts w:ascii="Times New Roman" w:hAnsi="Times New Roman" w:cs="Times New Roman"/>
          <w:b/>
          <w:color w:val="343434"/>
          <w:sz w:val="24"/>
          <w:szCs w:val="24"/>
          <w:u w:val="single"/>
          <w:shd w:val="clear" w:color="auto" w:fill="FFFFFF"/>
        </w:rPr>
        <w:t>HEMOPERFÜZYON KARTUŞU (ADSORBAN MEMBRAN), KÖMÜR İÇEREN</w:t>
      </w:r>
    </w:p>
    <w:tbl>
      <w:tblPr>
        <w:tblStyle w:val="TabloKlavuzu"/>
        <w:tblW w:w="9909" w:type="dxa"/>
        <w:tblLook w:val="04A0" w:firstRow="1" w:lastRow="0" w:firstColumn="1" w:lastColumn="0" w:noHBand="0" w:noVBand="1"/>
      </w:tblPr>
      <w:tblGrid>
        <w:gridCol w:w="1700"/>
        <w:gridCol w:w="8209"/>
      </w:tblGrid>
      <w:tr w:rsidR="00927B9C" w:rsidRPr="009A7287" w:rsidTr="009A7287">
        <w:trPr>
          <w:trHeight w:val="1021"/>
        </w:trPr>
        <w:tc>
          <w:tcPr>
            <w:tcW w:w="1700" w:type="dxa"/>
          </w:tcPr>
          <w:p w:rsidR="00927B9C" w:rsidRPr="009A7287" w:rsidRDefault="00927B9C" w:rsidP="006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8209" w:type="dxa"/>
          </w:tcPr>
          <w:p w:rsidR="00927B9C" w:rsidRPr="0061013A" w:rsidRDefault="0061013A" w:rsidP="0061013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Ürün, ağır akut böbrek yetmezliği, kronik böbrek yetmezliği, üremik sendrom ve kronik hemodiyaliz tedavisinde ortaya çıkabilen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periferik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nöropati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tedaviye dirençli cilt kaşıntıları, üremik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ansefolapati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ostedistrofi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vaskuler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kalsifikasyon, tedaviye dirençli hipertansiyon, kalp damar hastalığı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malnutrisyon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gibi komplikasyonların ortaya çıkmasında rol oynayan çeşitli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maddelerin birikimlerinde bu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maddeleri çekmek için kullanabilme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endikasyonuna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</w:tc>
      </w:tr>
      <w:tr w:rsidR="00927B9C" w:rsidRPr="009A7287" w:rsidTr="0061013A">
        <w:trPr>
          <w:trHeight w:val="5686"/>
        </w:trPr>
        <w:tc>
          <w:tcPr>
            <w:tcW w:w="1700" w:type="dxa"/>
          </w:tcPr>
          <w:p w:rsidR="00927B9C" w:rsidRPr="009A7287" w:rsidRDefault="00927B9C" w:rsidP="006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8209" w:type="dxa"/>
          </w:tcPr>
          <w:p w:rsidR="009214D7" w:rsidRDefault="009214D7" w:rsidP="0061013A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Hemoperfüzyon</w:t>
            </w:r>
            <w:proofErr w:type="spellEnd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kartuşu </w:t>
            </w: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membran</w:t>
            </w:r>
            <w:proofErr w:type="spellEnd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tipi selüloz yapıda olmalıdır.</w:t>
            </w:r>
          </w:p>
          <w:p w:rsidR="009214D7" w:rsidRPr="009214D7" w:rsidRDefault="009214D7" w:rsidP="0061013A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Hemoperfüzyon</w:t>
            </w:r>
            <w:proofErr w:type="spellEnd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kartuşunda kullanılan malzeme </w:t>
            </w: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polipropilen</w:t>
            </w:r>
            <w:proofErr w:type="spellEnd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olmalıdır.</w:t>
            </w:r>
          </w:p>
          <w:p w:rsidR="009214D7" w:rsidRDefault="009214D7" w:rsidP="0061013A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Hemoper</w:t>
            </w:r>
            <w:r w:rsidR="00CA15D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füzyon</w:t>
            </w:r>
            <w:proofErr w:type="spellEnd"/>
            <w:r w:rsidR="00CA15D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kartuşu uzunluğu 230-250mm, maksimum çapı 90</w:t>
            </w:r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mm olmalıdır.</w:t>
            </w:r>
          </w:p>
          <w:p w:rsidR="009214D7" w:rsidRPr="009214D7" w:rsidRDefault="009214D7" w:rsidP="0061013A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Hemoperfüzyon</w:t>
            </w:r>
            <w:proofErr w:type="spellEnd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kartuşu emici maddesi aktif haldeki </w:t>
            </w: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hemoperfüzyon</w:t>
            </w:r>
            <w:proofErr w:type="spellEnd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cinsi kömür olmalıdır.  </w:t>
            </w:r>
          </w:p>
          <w:p w:rsidR="009214D7" w:rsidRPr="003D1438" w:rsidRDefault="009214D7" w:rsidP="0061013A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Hemoperfüz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yon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kartuşu 100</w:t>
            </w:r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-325 gram </w:t>
            </w: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hemoperfüzyon</w:t>
            </w:r>
            <w:proofErr w:type="spellEnd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cinsi kömür içermelidir.</w:t>
            </w:r>
          </w:p>
          <w:p w:rsidR="009214D7" w:rsidRPr="003D1438" w:rsidRDefault="009214D7" w:rsidP="0061013A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Hemoperfüzyon</w:t>
            </w:r>
            <w:proofErr w:type="spellEnd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kartuşu filtrelerinin gözenek büyüklüğü 40</w:t>
            </w:r>
            <w:r w:rsidR="00CA15D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0-500 µm, </w:t>
            </w:r>
            <w:proofErr w:type="spellStart"/>
            <w:r w:rsidR="00CA15D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membran</w:t>
            </w:r>
            <w:proofErr w:type="spellEnd"/>
            <w:r w:rsidR="00CA15D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kalınlığı 3-5</w:t>
            </w:r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µm olmalıdır.</w:t>
            </w:r>
          </w:p>
          <w:p w:rsidR="00927B9C" w:rsidRPr="0061013A" w:rsidRDefault="009214D7" w:rsidP="0061013A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Hemoperfüzyon</w:t>
            </w:r>
            <w:proofErr w:type="spellEnd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kartuşu emici madde toplam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yüzey alanı erişkin tipinde 100</w:t>
            </w:r>
            <w:r w:rsidR="00CA15D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.000-300.000</w:t>
            </w:r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m² olmalıdır.</w:t>
            </w:r>
          </w:p>
        </w:tc>
      </w:tr>
      <w:tr w:rsidR="00927B9C" w:rsidRPr="009A7287" w:rsidTr="008D1E12">
        <w:trPr>
          <w:trHeight w:val="765"/>
        </w:trPr>
        <w:tc>
          <w:tcPr>
            <w:tcW w:w="1700" w:type="dxa"/>
          </w:tcPr>
          <w:p w:rsidR="00927B9C" w:rsidRPr="009A7287" w:rsidRDefault="00927B9C" w:rsidP="006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8209" w:type="dxa"/>
          </w:tcPr>
          <w:p w:rsidR="0061013A" w:rsidRDefault="0061013A" w:rsidP="0061013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ön işlemden geçmeden tam kanla çalışabilmelidir.</w:t>
            </w:r>
          </w:p>
          <w:p w:rsidR="0061013A" w:rsidRDefault="0061013A" w:rsidP="0061013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Üründe gerçekleştirilecek işlemler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otolog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 ve herhangi bir kan ve kan ürünlerine gereksinim duymamalı.</w:t>
            </w:r>
          </w:p>
          <w:p w:rsidR="0061013A" w:rsidRDefault="0061013A" w:rsidP="0061013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orta ve büyük moleküler ağırlıklı toksinler ile proteine bağlanmış toksinleri ve süreğen hemodiyaliz tedavisindeki hastaların kanlarında biriken ve klasik hemodiyalizle çekilemeyen toksinleri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adsorbe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edebilmelidir.</w:t>
            </w:r>
          </w:p>
          <w:p w:rsidR="007745B2" w:rsidRPr="009214D7" w:rsidRDefault="0061013A" w:rsidP="0061013A">
            <w:pPr>
              <w:pStyle w:val="ListeParagraf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kan şekilli elemanları üzerine olumsuz etki etmemeli ve hem yaşam kalitesi hem de yaşam süresini arttırabilmelidir.</w:t>
            </w:r>
          </w:p>
        </w:tc>
      </w:tr>
      <w:tr w:rsidR="00927B9C" w:rsidRPr="009A7287" w:rsidTr="008D1E12">
        <w:trPr>
          <w:trHeight w:val="1373"/>
        </w:trPr>
        <w:tc>
          <w:tcPr>
            <w:tcW w:w="1700" w:type="dxa"/>
          </w:tcPr>
          <w:p w:rsidR="00927B9C" w:rsidRPr="009A7287" w:rsidRDefault="00927B9C" w:rsidP="00610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2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209" w:type="dxa"/>
          </w:tcPr>
          <w:p w:rsidR="0061013A" w:rsidRPr="0061013A" w:rsidRDefault="009214D7" w:rsidP="0061013A">
            <w:pPr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D143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Hemoperfüzyon</w:t>
            </w:r>
            <w:proofErr w:type="spellEnd"/>
            <w:r w:rsidR="0061013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kartuşu</w:t>
            </w:r>
            <w:r w:rsidR="0005373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,</w:t>
            </w:r>
            <w:r w:rsidR="0061013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="003D684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buhar veya gama yöntemi ile </w:t>
            </w:r>
            <w:r w:rsidR="0061013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steril </w:t>
            </w:r>
            <w:r w:rsidR="003D684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edilmiş olmalı </w:t>
            </w:r>
            <w:r w:rsidR="0061013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ve tek kullanımlık olmalıdır. Son kullanma tarihi ve sterilizasyon yöntemi paket üzerinde yazmalıdır</w:t>
            </w:r>
            <w:r w:rsidR="003D684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9A7287" w:rsidRPr="009A7287" w:rsidRDefault="009214D7" w:rsidP="0061013A">
            <w:pPr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D1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Kart</w:t>
            </w:r>
            <w:r w:rsidR="006101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uşlar hemodiyaliz cihazları ve cihazda kullanılan arter </w:t>
            </w:r>
            <w:proofErr w:type="spellStart"/>
            <w:r w:rsidR="006101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ven</w:t>
            </w:r>
            <w:proofErr w:type="spellEnd"/>
            <w:r w:rsidR="0061013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setleri ile </w:t>
            </w:r>
            <w:r w:rsidRPr="003D14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uyumlu olmalıdır.</w:t>
            </w:r>
          </w:p>
        </w:tc>
      </w:tr>
    </w:tbl>
    <w:p w:rsidR="00927B9C" w:rsidRPr="009A7287" w:rsidRDefault="00927B9C" w:rsidP="0061013A">
      <w:pPr>
        <w:rPr>
          <w:rFonts w:ascii="Times New Roman" w:hAnsi="Times New Roman" w:cs="Times New Roman"/>
          <w:sz w:val="24"/>
          <w:szCs w:val="24"/>
        </w:rPr>
      </w:pPr>
    </w:p>
    <w:sectPr w:rsidR="00927B9C" w:rsidRPr="009A72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5C9" w:rsidRDefault="00D645C9" w:rsidP="0061013A">
      <w:pPr>
        <w:spacing w:before="0" w:after="0" w:line="240" w:lineRule="auto"/>
      </w:pPr>
      <w:r>
        <w:separator/>
      </w:r>
    </w:p>
  </w:endnote>
  <w:endnote w:type="continuationSeparator" w:id="0">
    <w:p w:rsidR="00D645C9" w:rsidRDefault="00D645C9" w:rsidP="006101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0236090"/>
      <w:docPartObj>
        <w:docPartGallery w:val="Page Numbers (Bottom of Page)"/>
        <w:docPartUnique/>
      </w:docPartObj>
    </w:sdtPr>
    <w:sdtEndPr/>
    <w:sdtContent>
      <w:p w:rsidR="0061013A" w:rsidRDefault="0061013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5D8">
          <w:rPr>
            <w:noProof/>
          </w:rPr>
          <w:t>1</w:t>
        </w:r>
        <w:r>
          <w:fldChar w:fldCharType="end"/>
        </w:r>
      </w:p>
    </w:sdtContent>
  </w:sdt>
  <w:p w:rsidR="0061013A" w:rsidRDefault="006101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5C9" w:rsidRDefault="00D645C9" w:rsidP="0061013A">
      <w:pPr>
        <w:spacing w:before="0" w:after="0" w:line="240" w:lineRule="auto"/>
      </w:pPr>
      <w:r>
        <w:separator/>
      </w:r>
    </w:p>
  </w:footnote>
  <w:footnote w:type="continuationSeparator" w:id="0">
    <w:p w:rsidR="00D645C9" w:rsidRDefault="00D645C9" w:rsidP="0061013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A7C1B"/>
    <w:multiLevelType w:val="hybridMultilevel"/>
    <w:tmpl w:val="B692851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5373C"/>
    <w:rsid w:val="000758C3"/>
    <w:rsid w:val="001307F7"/>
    <w:rsid w:val="001329AB"/>
    <w:rsid w:val="002D4679"/>
    <w:rsid w:val="00331850"/>
    <w:rsid w:val="00381038"/>
    <w:rsid w:val="003D684F"/>
    <w:rsid w:val="00460ABF"/>
    <w:rsid w:val="00607DA4"/>
    <w:rsid w:val="0061013A"/>
    <w:rsid w:val="007745B2"/>
    <w:rsid w:val="007D1FF3"/>
    <w:rsid w:val="008D1E12"/>
    <w:rsid w:val="008F54D8"/>
    <w:rsid w:val="009214D7"/>
    <w:rsid w:val="00927B9C"/>
    <w:rsid w:val="009A5587"/>
    <w:rsid w:val="009A7287"/>
    <w:rsid w:val="00C35B46"/>
    <w:rsid w:val="00C56846"/>
    <w:rsid w:val="00CA15D8"/>
    <w:rsid w:val="00CA7B2D"/>
    <w:rsid w:val="00D645C9"/>
    <w:rsid w:val="00E543DC"/>
    <w:rsid w:val="00E86173"/>
    <w:rsid w:val="00EA7840"/>
    <w:rsid w:val="00EB0ED7"/>
    <w:rsid w:val="00F4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01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13A"/>
  </w:style>
  <w:style w:type="paragraph" w:styleId="AltBilgi">
    <w:name w:val="footer"/>
    <w:basedOn w:val="Normal"/>
    <w:link w:val="AltBilgiChar"/>
    <w:uiPriority w:val="99"/>
    <w:unhideWhenUsed/>
    <w:rsid w:val="006101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2022-06-27T12:35:00Z</dcterms:created>
  <dcterms:modified xsi:type="dcterms:W3CDTF">2022-06-27T12:35:00Z</dcterms:modified>
</cp:coreProperties>
</file>